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3F3CD6" w:rsidP="005A52FA">
      <w:pPr>
        <w:rPr>
          <w:sz w:val="2"/>
          <w:szCs w:val="2"/>
        </w:rPr>
      </w:pPr>
    </w:p>
    <w:p w:rsidR="00451A7C" w:rsidRPr="00843D10" w:rsidRDefault="003F3CD6" w:rsidP="00451A7C">
      <w:pPr>
        <w:jc w:val="both"/>
        <w:rPr>
          <w:sz w:val="14"/>
          <w:szCs w:val="14"/>
        </w:rPr>
      </w:pPr>
    </w:p>
    <w:p w:rsidR="005166D0" w:rsidRDefault="003F3CD6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3F3CD6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3F3CD6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3F3CD6">
            <w:pPr>
              <w:rPr>
                <w:rFonts w:cs="Arial"/>
              </w:rPr>
            </w:pPr>
          </w:p>
        </w:tc>
      </w:tr>
    </w:tbl>
    <w:p w:rsidR="00493C3C" w:rsidRDefault="003F3CD6" w:rsidP="00493C3C">
      <w:pPr>
        <w:jc w:val="both"/>
        <w:rPr>
          <w:rFonts w:cs="Arial"/>
        </w:rPr>
      </w:pPr>
    </w:p>
    <w:p w:rsidR="00493C3C" w:rsidRDefault="003F3CD6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3F3CD6" w:rsidP="00493C3C">
      <w:pPr>
        <w:jc w:val="both"/>
        <w:rPr>
          <w:rFonts w:cs="Arial"/>
        </w:rPr>
      </w:pPr>
    </w:p>
    <w:p w:rsidR="001E21C3" w:rsidRPr="00493C3C" w:rsidRDefault="003F3CD6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3F3CD6" w:rsidP="00AC00DB">
      <w:pPr>
        <w:jc w:val="both"/>
        <w:rPr>
          <w:rFonts w:cs="Arial"/>
          <w:b/>
        </w:rPr>
      </w:pPr>
    </w:p>
    <w:p w:rsidR="00F674EF" w:rsidRDefault="003F3CD6" w:rsidP="00AC00DB">
      <w:pPr>
        <w:jc w:val="both"/>
        <w:rPr>
          <w:rFonts w:cs="Arial"/>
          <w:b/>
        </w:rPr>
      </w:pPr>
    </w:p>
    <w:p w:rsidR="009B2EEF" w:rsidRPr="006E769E" w:rsidRDefault="009B2EEF" w:rsidP="006A51EE">
      <w:pPr>
        <w:jc w:val="both"/>
        <w:rPr>
          <w:rFonts w:cs="Arial"/>
          <w:b/>
        </w:rPr>
      </w:pPr>
      <w:r w:rsidRPr="006E769E">
        <w:rPr>
          <w:rFonts w:cs="Arial"/>
          <w:b/>
        </w:rPr>
        <w:t>Rapport médical (5438) pour apprécier le droit à la prise en charge des frais de chaussures</w:t>
      </w:r>
      <w:r>
        <w:rPr>
          <w:rFonts w:cs="Arial"/>
          <w:sz w:val="12"/>
        </w:rPr>
        <w:t xml:space="preserve"> / (v. 03.2022)</w:t>
      </w:r>
    </w:p>
    <w:p w:rsidR="009B2EEF" w:rsidRPr="006E769E" w:rsidRDefault="009B2EEF" w:rsidP="006A51EE">
      <w:pPr>
        <w:jc w:val="both"/>
        <w:rPr>
          <w:rFonts w:cs="Arial"/>
        </w:rPr>
      </w:pPr>
    </w:p>
    <w:p w:rsidR="009B2EEF" w:rsidRPr="006E769E" w:rsidRDefault="009B2EEF" w:rsidP="006A51EE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  <w:r w:rsidRPr="006E769E">
        <w:rPr>
          <w:rFonts w:cs="Arial"/>
          <w:b/>
        </w:rPr>
        <w:t>Question(s) complémentaire(s) de l'Office AI</w:t>
      </w:r>
      <w:r w:rsidRPr="006E769E">
        <w:rPr>
          <w:rFonts w:cs="Arial"/>
        </w:rPr>
        <w:t xml:space="preserve"> </w:t>
      </w:r>
      <w:r w:rsidRPr="006E769E">
        <w:rPr>
          <w:rFonts w:cs="Arial"/>
          <w:sz w:val="18"/>
        </w:rPr>
        <w:t>(vos réponses peuvent être faites sur une feuille annexe)</w:t>
      </w:r>
      <w:r w:rsidRPr="006E769E">
        <w:rPr>
          <w:rFonts w:cs="Arial"/>
        </w:rPr>
        <w:t xml:space="preserve"> :</w:t>
      </w:r>
    </w:p>
    <w:p w:rsidR="001D1120" w:rsidRPr="006E769E" w:rsidRDefault="001D1120" w:rsidP="001D1120">
      <w:pPr>
        <w:spacing w:before="120"/>
        <w:ind w:left="567" w:right="510"/>
        <w:jc w:val="both"/>
        <w:rPr>
          <w:rFonts w:cs="Arial"/>
          <w:i/>
        </w:rPr>
      </w:pPr>
      <w:r w:rsidRPr="006E769E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Veuillez également répondre aux questions de la feuille annexée. Merci."/>
            </w:textInput>
          </w:ffData>
        </w:fldChar>
      </w:r>
      <w:r w:rsidRPr="006E769E">
        <w:rPr>
          <w:rFonts w:cs="Arial"/>
          <w:i/>
        </w:rPr>
        <w:instrText xml:space="preserve"> FORMTEXT </w:instrText>
      </w:r>
      <w:r w:rsidRPr="006E769E">
        <w:rPr>
          <w:rFonts w:cs="Arial"/>
          <w:i/>
        </w:rPr>
      </w:r>
      <w:r w:rsidRPr="006E769E">
        <w:rPr>
          <w:rFonts w:cs="Arial"/>
          <w:i/>
        </w:rPr>
        <w:fldChar w:fldCharType="separate"/>
      </w:r>
      <w:r w:rsidRPr="006E769E">
        <w:rPr>
          <w:rFonts w:cs="Arial"/>
          <w:i/>
          <w:noProof/>
        </w:rPr>
        <w:t>Veuillez également répondre aux questions de la feuille annexée. Merci.</w:t>
      </w:r>
      <w:r w:rsidRPr="006E769E">
        <w:rPr>
          <w:rFonts w:cs="Arial"/>
          <w:i/>
        </w:rPr>
        <w:fldChar w:fldCharType="end"/>
      </w:r>
      <w:r w:rsidRPr="006E769E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1.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Diagnostics :</w:t>
      </w:r>
      <w:r w:rsidRPr="006E769E">
        <w:rPr>
          <w:rFonts w:cs="Arial"/>
        </w:rPr>
        <w:tab/>
        <w:t>Existant depuis quand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7086"/>
        <w:gridCol w:w="2364"/>
      </w:tblGrid>
      <w:tr w:rsidR="001D1120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7086" w:type="dxa"/>
            <w:shd w:val="clear" w:color="auto" w:fill="auto"/>
          </w:tcPr>
          <w:p w:rsidR="001D1120" w:rsidRPr="00D4414D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  <w:b/>
        </w:rPr>
      </w:pPr>
      <w:r w:rsidRPr="006E769E">
        <w:rPr>
          <w:rFonts w:cs="Arial"/>
          <w:b/>
        </w:rPr>
        <w:t>2.</w:t>
      </w:r>
      <w:r w:rsidRPr="006E769E">
        <w:rPr>
          <w:rFonts w:cs="Arial"/>
          <w:b/>
        </w:rPr>
        <w:tab/>
        <w:t>Questions générales au médecin</w:t>
      </w: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2.1</w:t>
      </w:r>
      <w:r w:rsidRPr="006E769E">
        <w:rPr>
          <w:rFonts w:cs="Arial"/>
        </w:rPr>
        <w:tab/>
        <w:t>L'état de santé de la personne assurée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51"/>
        <w:gridCol w:w="3123"/>
        <w:gridCol w:w="3191"/>
      </w:tblGrid>
      <w:tr w:rsidR="001D1120" w:rsidRPr="00D4414D" w:rsidTr="00F14FEC">
        <w:trPr>
          <w:cantSplit/>
        </w:trPr>
        <w:tc>
          <w:tcPr>
            <w:tcW w:w="511" w:type="dxa"/>
            <w:shd w:val="clear" w:color="auto" w:fill="auto"/>
          </w:tcPr>
          <w:p w:rsidR="001D1120" w:rsidRPr="001D1120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151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est </w:t>
            </w:r>
            <w:r w:rsidRPr="0047602F">
              <w:rPr>
                <w:rFonts w:cs="Arial"/>
              </w:rPr>
              <w:t>stationnaire</w:t>
            </w:r>
          </w:p>
        </w:tc>
        <w:tc>
          <w:tcPr>
            <w:tcW w:w="312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661"/>
                <w:tab w:val="left" w:pos="1163"/>
                <w:tab w:val="left" w:pos="1653"/>
                <w:tab w:val="left" w:pos="1730"/>
                <w:tab w:val="left" w:pos="1911"/>
                <w:tab w:val="left" w:pos="2376"/>
                <w:tab w:val="left" w:pos="2503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04535934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8D3C5A">
              <w:rPr>
                <w:rFonts w:cs="Arial"/>
              </w:rPr>
              <w:t>s'améliore</w:t>
            </w:r>
          </w:p>
        </w:tc>
        <w:tc>
          <w:tcPr>
            <w:tcW w:w="3191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15124925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 w:rsidRPr="008D3C5A">
              <w:rPr>
                <w:rFonts w:cs="Arial"/>
              </w:rPr>
              <w:t>s'aggrave</w:t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jc w:val="both"/>
        <w:rPr>
          <w:rFonts w:cs="Arial"/>
        </w:rPr>
      </w:pPr>
    </w:p>
    <w:p w:rsidR="001D1120" w:rsidRDefault="001D1120" w:rsidP="001D1120">
      <w:pPr>
        <w:keepNext/>
        <w:keepLines/>
        <w:tabs>
          <w:tab w:val="left" w:pos="567"/>
          <w:tab w:val="left" w:pos="7655"/>
        </w:tabs>
        <w:spacing w:before="120" w:after="120"/>
        <w:jc w:val="both"/>
        <w:rPr>
          <w:rFonts w:ascii="MS Gothic" w:eastAsia="MS Gothic" w:hAnsi="MS Gothic" w:cs="Arial"/>
        </w:rPr>
      </w:pPr>
      <w:r w:rsidRPr="006E769E">
        <w:rPr>
          <w:rFonts w:cs="Arial"/>
          <w:b/>
        </w:rPr>
        <w:t xml:space="preserve"> 2.2</w:t>
      </w:r>
      <w:r w:rsidRPr="006E769E">
        <w:rPr>
          <w:rFonts w:cs="Arial"/>
        </w:rPr>
        <w:tab/>
        <w:t>Un examen médical complémentaire est-il nécessaire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1D1120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1D1120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D1120" w:rsidRPr="004C6794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2654726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4C6794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spacing w:before="120" w:after="120"/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  <w:b/>
        </w:rPr>
      </w:pPr>
      <w:r w:rsidRPr="006E769E">
        <w:rPr>
          <w:rFonts w:cs="Arial"/>
          <w:b/>
        </w:rPr>
        <w:t>3.</w:t>
      </w:r>
      <w:r w:rsidRPr="006E769E">
        <w:rPr>
          <w:rFonts w:cs="Arial"/>
          <w:b/>
        </w:rPr>
        <w:tab/>
        <w:t>Données médicales</w:t>
      </w: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3.1</w:t>
      </w:r>
      <w:r w:rsidRPr="006E769E">
        <w:rPr>
          <w:rFonts w:cs="Arial"/>
        </w:rPr>
        <w:tab/>
        <w:t>Traitement</w:t>
      </w:r>
      <w:r>
        <w:rPr>
          <w:rFonts w:cs="Arial"/>
        </w:rPr>
        <w:t>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</w:rPr>
              <w:t xml:space="preserve">du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au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3.2</w:t>
      </w:r>
      <w:r w:rsidRPr="006E769E">
        <w:rPr>
          <w:rFonts w:cs="Arial"/>
        </w:rPr>
        <w:tab/>
        <w:t>Dernier examen le</w:t>
      </w:r>
      <w:r>
        <w:rPr>
          <w:rFonts w:cs="Arial"/>
        </w:rPr>
        <w:t>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lastRenderedPageBreak/>
        <w:t>3.3</w:t>
      </w:r>
      <w:r w:rsidRPr="006E769E">
        <w:rPr>
          <w:rFonts w:cs="Arial"/>
        </w:rPr>
        <w:tab/>
        <w:t>Anamnèse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3.4</w:t>
      </w:r>
      <w:r w:rsidRPr="006E769E">
        <w:rPr>
          <w:rFonts w:cs="Arial"/>
        </w:rPr>
        <w:tab/>
        <w:t>Plaintes subjectives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3.5</w:t>
      </w:r>
      <w:r w:rsidRPr="006E769E">
        <w:rPr>
          <w:rFonts w:cs="Arial"/>
        </w:rPr>
        <w:tab/>
        <w:t>Constatations objectives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3.6</w:t>
      </w:r>
      <w:r w:rsidRPr="006E769E">
        <w:rPr>
          <w:rFonts w:cs="Arial"/>
        </w:rPr>
        <w:tab/>
        <w:t>Examens médicaux spécialisés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jc w:val="both"/>
        <w:rPr>
          <w:rFonts w:cs="Arial"/>
        </w:rPr>
      </w:pPr>
      <w:r w:rsidRPr="006E769E">
        <w:rPr>
          <w:rFonts w:cs="Arial"/>
          <w:b/>
        </w:rPr>
        <w:t xml:space="preserve"> 3.7</w:t>
      </w:r>
      <w:r w:rsidRPr="006E769E">
        <w:rPr>
          <w:rFonts w:cs="Arial"/>
        </w:rPr>
        <w:tab/>
        <w:t>Thérapie / Pronostic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ind w:left="567" w:hanging="567"/>
        <w:jc w:val="both"/>
        <w:rPr>
          <w:rFonts w:cs="Arial"/>
          <w:b/>
        </w:rPr>
      </w:pPr>
      <w:r w:rsidRPr="006E769E">
        <w:rPr>
          <w:rFonts w:cs="Arial"/>
          <w:b/>
        </w:rPr>
        <w:t>4.</w:t>
      </w:r>
      <w:r w:rsidRPr="006E769E">
        <w:rPr>
          <w:rFonts w:cs="Arial"/>
          <w:b/>
        </w:rPr>
        <w:tab/>
        <w:t>Annexes</w:t>
      </w: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E769E">
        <w:rPr>
          <w:rFonts w:cs="Arial"/>
        </w:rPr>
        <w:t xml:space="preserve">Nous vous prions de joindre à l’attention de notre service médical des </w:t>
      </w:r>
      <w:r w:rsidRPr="006E769E">
        <w:rPr>
          <w:rFonts w:cs="Arial"/>
          <w:u w:val="single"/>
        </w:rPr>
        <w:t>copies</w:t>
      </w:r>
      <w:r w:rsidRPr="006E769E">
        <w:rPr>
          <w:rFonts w:cs="Arial"/>
        </w:rPr>
        <w:t xml:space="preserve"> des rapports des hôpitaux ou des spécialistes en votre possession ou de nous les indiquer afin que nous puissions nous-mêmes les demander. Veuillez ne pas annexer vos documents originaux : les courriers reçus par l'Office AI sont numérisés dès réception et immédiatement détruits.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="Arial"/>
          <w:b/>
        </w:rPr>
      </w:pPr>
    </w:p>
    <w:p w:rsidR="001D1120" w:rsidRPr="006E769E" w:rsidRDefault="001D1120" w:rsidP="001D1120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 xml:space="preserve">En particulier, votre patient(e) </w:t>
      </w:r>
      <w:proofErr w:type="spellStart"/>
      <w:r w:rsidRPr="006E769E">
        <w:rPr>
          <w:rFonts w:cs="Arial"/>
        </w:rPr>
        <w:t>a-t-il</w:t>
      </w:r>
      <w:proofErr w:type="spellEnd"/>
      <w:r w:rsidRPr="006E769E">
        <w:rPr>
          <w:rFonts w:cs="Arial"/>
        </w:rPr>
        <w:t>(elle) été soumis(e) à une ou plusieurs expertises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1D1120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1D1120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D1120" w:rsidRPr="004C6794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90829969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4C6794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887568266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1D1120" w:rsidRPr="006E769E" w:rsidRDefault="001D1120" w:rsidP="001D1120">
      <w:pPr>
        <w:keepNext/>
        <w:keepLines/>
        <w:tabs>
          <w:tab w:val="left" w:pos="7655"/>
        </w:tabs>
        <w:spacing w:before="120"/>
        <w:ind w:left="567" w:hanging="567"/>
        <w:jc w:val="both"/>
        <w:rPr>
          <w:rFonts w:cs="Arial"/>
        </w:rPr>
      </w:pPr>
      <w:r w:rsidRPr="006E769E">
        <w:rPr>
          <w:rFonts w:cs="Arial"/>
        </w:rPr>
        <w:tab/>
        <w:t>Le cas échéant auprès de quel(s) médecin(s) et à l’instigation de quelle(s) institution(s)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1D1120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</w:rPr>
        <w:tab/>
        <w:t xml:space="preserve">Pouvez-vous </w:t>
      </w:r>
      <w:r>
        <w:rPr>
          <w:rFonts w:cs="Arial"/>
        </w:rPr>
        <w:t xml:space="preserve">SVP </w:t>
      </w:r>
      <w:r w:rsidRPr="006E769E">
        <w:rPr>
          <w:rFonts w:cs="Arial"/>
        </w:rPr>
        <w:t>nous remettre les rapports établis ?</w:t>
      </w:r>
    </w:p>
    <w:p w:rsidR="001D1120" w:rsidRPr="006E769E" w:rsidRDefault="001D1120" w:rsidP="001D1120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D1120" w:rsidRPr="006E769E" w:rsidRDefault="001D1120" w:rsidP="001D1120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ind w:left="567" w:hanging="567"/>
        <w:jc w:val="both"/>
        <w:rPr>
          <w:rFonts w:cs="Arial"/>
          <w:b/>
        </w:rPr>
      </w:pPr>
      <w:r w:rsidRPr="006E769E">
        <w:rPr>
          <w:rFonts w:cs="Arial"/>
          <w:b/>
        </w:rPr>
        <w:t xml:space="preserve"> </w:t>
      </w:r>
      <w:r w:rsidRPr="006E769E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1D1120" w:rsidRPr="00D4414D" w:rsidTr="00F14FEC">
        <w:tc>
          <w:tcPr>
            <w:tcW w:w="510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1D1120" w:rsidRPr="006E769E" w:rsidRDefault="001D1120" w:rsidP="001D1120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9B2EEF" w:rsidRPr="006E769E" w:rsidRDefault="009B2EEF" w:rsidP="009B2EEF">
      <w:pPr>
        <w:rPr>
          <w:rFonts w:cs="Arial"/>
        </w:rPr>
      </w:pPr>
      <w:r w:rsidRPr="006E769E">
        <w:rPr>
          <w:rFonts w:cs="Arial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4721"/>
      </w:tblGrid>
      <w:tr w:rsidR="00A955AA" w:rsidRPr="006E769E" w:rsidTr="006A37F7">
        <w:trPr>
          <w:cantSplit/>
          <w:trHeight w:val="474"/>
        </w:trPr>
        <w:tc>
          <w:tcPr>
            <w:tcW w:w="2641" w:type="pct"/>
            <w:vMerge w:val="restart"/>
            <w:shd w:val="clear" w:color="auto" w:fill="auto"/>
          </w:tcPr>
          <w:p w:rsidR="00716194" w:rsidRPr="008E6958" w:rsidRDefault="00716194" w:rsidP="00716194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lastRenderedPageBreak/>
              <w:t xml:space="preserve">Numéro de sécurité sociale (NSS) : </w:t>
            </w:r>
            <w:r>
              <w:rPr>
                <w:rFonts w:cs="Arial"/>
              </w:rPr>
              <w:t>756.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955AA" w:rsidRPr="006E769E" w:rsidRDefault="00716194" w:rsidP="00716194">
            <w:pPr>
              <w:keepNext/>
              <w:jc w:val="both"/>
              <w:rPr>
                <w:rFonts w:cs="Arial"/>
                <w:sz w:val="16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  <w:p w:rsidR="00A955AA" w:rsidRPr="006E769E" w:rsidRDefault="00A955AA" w:rsidP="006A37F7">
            <w:pPr>
              <w:keepNext/>
              <w:jc w:val="both"/>
              <w:rPr>
                <w:rFonts w:cs="Arial"/>
                <w:sz w:val="18"/>
              </w:rPr>
            </w:pPr>
          </w:p>
          <w:p w:rsidR="00716194" w:rsidRPr="000E31A5" w:rsidRDefault="00716194" w:rsidP="00716194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716194" w:rsidRDefault="00716194" w:rsidP="00716194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A955AA" w:rsidRPr="006E769E" w:rsidRDefault="00716194" w:rsidP="00716194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A955AA" w:rsidRPr="006E769E" w:rsidRDefault="00A955AA" w:rsidP="006A37F7">
            <w:pPr>
              <w:keepNext/>
              <w:jc w:val="right"/>
              <w:rPr>
                <w:rFonts w:cs="Arial"/>
              </w:rPr>
            </w:pPr>
          </w:p>
        </w:tc>
      </w:tr>
      <w:tr w:rsidR="00A955AA" w:rsidRPr="006E769E" w:rsidTr="006A37F7">
        <w:trPr>
          <w:cantSplit/>
          <w:trHeight w:val="936"/>
        </w:trPr>
        <w:tc>
          <w:tcPr>
            <w:tcW w:w="2641" w:type="pct"/>
            <w:vMerge/>
            <w:shd w:val="clear" w:color="auto" w:fill="auto"/>
          </w:tcPr>
          <w:p w:rsidR="00A955AA" w:rsidRPr="006E769E" w:rsidRDefault="00A955AA" w:rsidP="006A37F7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2359" w:type="pct"/>
            <w:vMerge w:val="restart"/>
            <w:shd w:val="clear" w:color="auto" w:fill="auto"/>
            <w:vAlign w:val="center"/>
          </w:tcPr>
          <w:p w:rsidR="00A955AA" w:rsidRPr="006E769E" w:rsidRDefault="00A955AA" w:rsidP="006A37F7">
            <w:pPr>
              <w:keepNext/>
              <w:rPr>
                <w:rFonts w:cs="Arial"/>
              </w:rPr>
            </w:pPr>
          </w:p>
        </w:tc>
      </w:tr>
      <w:tr w:rsidR="00A955AA" w:rsidRPr="006E769E" w:rsidTr="006A37F7">
        <w:trPr>
          <w:cantSplit/>
          <w:trHeight w:hRule="exact" w:val="215"/>
        </w:trPr>
        <w:tc>
          <w:tcPr>
            <w:tcW w:w="2641" w:type="pct"/>
            <w:shd w:val="clear" w:color="auto" w:fill="auto"/>
          </w:tcPr>
          <w:p w:rsidR="00A955AA" w:rsidRPr="006E769E" w:rsidRDefault="00A955AA" w:rsidP="006A37F7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</w:p>
        </w:tc>
        <w:tc>
          <w:tcPr>
            <w:tcW w:w="2359" w:type="pct"/>
            <w:vMerge/>
            <w:shd w:val="clear" w:color="auto" w:fill="auto"/>
            <w:vAlign w:val="center"/>
          </w:tcPr>
          <w:p w:rsidR="00A955AA" w:rsidRPr="006E769E" w:rsidRDefault="00A955AA" w:rsidP="006A37F7">
            <w:pPr>
              <w:keepNext/>
              <w:rPr>
                <w:rFonts w:cs="Arial"/>
                <w:b/>
              </w:rPr>
            </w:pPr>
          </w:p>
        </w:tc>
      </w:tr>
    </w:tbl>
    <w:p w:rsidR="00A955AA" w:rsidRPr="006E769E" w:rsidRDefault="00A955AA" w:rsidP="00A955AA">
      <w:pPr>
        <w:jc w:val="both"/>
        <w:rPr>
          <w:rFonts w:cs="Arial"/>
        </w:rPr>
      </w:pPr>
    </w:p>
    <w:p w:rsidR="00A955AA" w:rsidRPr="0011747B" w:rsidRDefault="00A955AA" w:rsidP="00A955AA">
      <w:pPr>
        <w:ind w:left="2552" w:hanging="2552"/>
        <w:rPr>
          <w:rFonts w:cs="Arial"/>
          <w:i/>
          <w:sz w:val="18"/>
        </w:rPr>
      </w:pPr>
      <w:r w:rsidRPr="0011747B">
        <w:rPr>
          <w:rFonts w:cs="Arial"/>
          <w:i/>
          <w:sz w:val="18"/>
        </w:rPr>
        <w:t>Rapport médical adressé à :</w:t>
      </w:r>
      <w:r w:rsidRPr="0011747B">
        <w:rPr>
          <w:rFonts w:cs="Arial"/>
          <w:i/>
          <w:sz w:val="18"/>
        </w:rPr>
        <w:tab/>
      </w:r>
      <w:r w:rsidR="00716194">
        <w:rPr>
          <w:rFonts w:cs="Arial"/>
          <w:b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194">
        <w:rPr>
          <w:rFonts w:cs="Arial"/>
          <w:b/>
          <w:bCs/>
          <w:sz w:val="18"/>
        </w:rPr>
        <w:instrText xml:space="preserve"> FORMTEXT </w:instrText>
      </w:r>
      <w:r w:rsidR="00716194">
        <w:rPr>
          <w:rFonts w:cs="Arial"/>
          <w:b/>
          <w:bCs/>
          <w:sz w:val="18"/>
        </w:rPr>
      </w:r>
      <w:r w:rsidR="00716194">
        <w:rPr>
          <w:rFonts w:cs="Arial"/>
          <w:b/>
          <w:bCs/>
          <w:sz w:val="18"/>
        </w:rPr>
        <w:fldChar w:fldCharType="separate"/>
      </w:r>
      <w:r w:rsidR="00716194">
        <w:rPr>
          <w:rFonts w:cs="Arial"/>
          <w:b/>
          <w:bCs/>
          <w:noProof/>
          <w:sz w:val="18"/>
        </w:rPr>
        <w:t> </w:t>
      </w:r>
      <w:r w:rsidR="00716194">
        <w:rPr>
          <w:rFonts w:cs="Arial"/>
          <w:b/>
          <w:bCs/>
          <w:noProof/>
          <w:sz w:val="18"/>
        </w:rPr>
        <w:t> </w:t>
      </w:r>
      <w:r w:rsidR="00716194">
        <w:rPr>
          <w:rFonts w:cs="Arial"/>
          <w:b/>
          <w:bCs/>
          <w:noProof/>
          <w:sz w:val="18"/>
        </w:rPr>
        <w:t> </w:t>
      </w:r>
      <w:r w:rsidR="00716194">
        <w:rPr>
          <w:rFonts w:cs="Arial"/>
          <w:b/>
          <w:bCs/>
          <w:noProof/>
          <w:sz w:val="18"/>
        </w:rPr>
        <w:t> </w:t>
      </w:r>
      <w:r w:rsidR="00716194">
        <w:rPr>
          <w:rFonts w:cs="Arial"/>
          <w:b/>
          <w:bCs/>
          <w:noProof/>
          <w:sz w:val="18"/>
        </w:rPr>
        <w:t> </w:t>
      </w:r>
      <w:r w:rsidR="00716194">
        <w:rPr>
          <w:rFonts w:cs="Arial"/>
          <w:b/>
          <w:bCs/>
          <w:sz w:val="18"/>
        </w:rPr>
        <w:fldChar w:fldCharType="end"/>
      </w:r>
    </w:p>
    <w:p w:rsidR="00A955AA" w:rsidRPr="006E769E" w:rsidRDefault="00A955AA" w:rsidP="00A955AA">
      <w:pPr>
        <w:jc w:val="both"/>
        <w:rPr>
          <w:rFonts w:cs="Arial"/>
        </w:rPr>
      </w:pPr>
    </w:p>
    <w:p w:rsidR="00A955AA" w:rsidRPr="006E769E" w:rsidRDefault="00A955AA" w:rsidP="00A955AA">
      <w:pPr>
        <w:jc w:val="both"/>
        <w:rPr>
          <w:rFonts w:cs="Arial"/>
          <w:b/>
        </w:rPr>
      </w:pPr>
      <w:r w:rsidRPr="006E769E">
        <w:rPr>
          <w:rFonts w:cs="Arial"/>
          <w:b/>
        </w:rPr>
        <w:t xml:space="preserve">Annexe au rapport médical (5438) </w:t>
      </w:r>
      <w:r w:rsidRPr="006E769E">
        <w:rPr>
          <w:rFonts w:cs="Arial"/>
        </w:rPr>
        <w:t>(veuillez observer les remarques indiquées en page suivante concernant le type de chaussures).</w:t>
      </w:r>
    </w:p>
    <w:p w:rsidR="00A955AA" w:rsidRPr="006E769E" w:rsidRDefault="00A955AA" w:rsidP="00A955AA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  <w:b/>
        </w:rPr>
      </w:pPr>
      <w:r w:rsidRPr="006E769E">
        <w:rPr>
          <w:rFonts w:cs="Arial"/>
          <w:b/>
        </w:rPr>
        <w:t>Questions complémentaires :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1.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 xml:space="preserve">Description des anomalies des pieds (dans la mesure du possible, veuillez joindre les radiographies ou copies de rapports radiologiques, le </w:t>
      </w:r>
      <w:proofErr w:type="spellStart"/>
      <w:r w:rsidRPr="006E769E">
        <w:rPr>
          <w:rFonts w:cs="Arial"/>
        </w:rPr>
        <w:t>podogramme</w:t>
      </w:r>
      <w:proofErr w:type="spellEnd"/>
      <w:r w:rsidRPr="006E769E">
        <w:rPr>
          <w:rFonts w:cs="Arial"/>
        </w:rPr>
        <w:t xml:space="preserve"> ou le contour du pied).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2.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Quelle est la différence de taille des jambes ou des pieds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3.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 xml:space="preserve">Y </w:t>
      </w:r>
      <w:proofErr w:type="spellStart"/>
      <w:r w:rsidRPr="006E769E">
        <w:rPr>
          <w:rFonts w:cs="Arial"/>
        </w:rPr>
        <w:t>a-t-il</w:t>
      </w:r>
      <w:proofErr w:type="spellEnd"/>
      <w:r w:rsidRPr="006E769E">
        <w:rPr>
          <w:rFonts w:cs="Arial"/>
        </w:rPr>
        <w:t xml:space="preserve"> des difficultés dans le port de chaussures de série ? Quelle en est la cause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4.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 xml:space="preserve">Y </w:t>
      </w:r>
      <w:proofErr w:type="spellStart"/>
      <w:r w:rsidRPr="006E769E">
        <w:rPr>
          <w:rFonts w:cs="Arial"/>
        </w:rPr>
        <w:t>a-t-il</w:t>
      </w:r>
      <w:proofErr w:type="spellEnd"/>
      <w:r w:rsidRPr="006E769E">
        <w:rPr>
          <w:rFonts w:cs="Arial"/>
        </w:rPr>
        <w:t xml:space="preserve"> une surcharge particulière sur les pieds dans la vie quotidienne ou professionnelle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5.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Le port de chaussures de série munies de supports plantaires amovibles est-il suffisant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6.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Le port de chaussures de série de tailles différentes peut-il suffire à résoudre le problème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7.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L'invalidité entraîne-t-elle une usure excessive des chaussures de série ? Si oui, pourquoi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8.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Le port de chaussures de série munies de modifications orthopédiques est-il nécessaire ? Si oui, quel genre de modifications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9.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Des chaussures spéciales, éventuellement avec des modifications orthopédiques, sont-elles nécessaires ? Si oui, quel genre de modifications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t xml:space="preserve">10.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Des chaussures orthopédiques de série, éventuellement avec des modifications, sont-elles nécessaires 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tabs>
          <w:tab w:val="left" w:pos="7655"/>
        </w:tabs>
        <w:ind w:left="567" w:hanging="567"/>
        <w:jc w:val="both"/>
        <w:rPr>
          <w:rFonts w:cs="Arial"/>
        </w:rPr>
      </w:pPr>
      <w:r w:rsidRPr="006E769E">
        <w:rPr>
          <w:rFonts w:cs="Arial"/>
          <w:b/>
        </w:rPr>
        <w:lastRenderedPageBreak/>
        <w:t xml:space="preserve">11. </w:t>
      </w:r>
      <w:r w:rsidRPr="006E769E">
        <w:rPr>
          <w:rFonts w:cs="Arial"/>
          <w:b/>
        </w:rPr>
        <w:tab/>
      </w:r>
      <w:r w:rsidRPr="006E769E">
        <w:rPr>
          <w:rFonts w:cs="Arial"/>
        </w:rPr>
        <w:t>Le port de chaussures orthopédiques fabriquées sur mesure est-il nécessaire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D112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D1120" w:rsidRPr="004B65BF" w:rsidRDefault="001D1120" w:rsidP="003F3CD6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tabs>
          <w:tab w:val="left" w:pos="7655"/>
        </w:tabs>
        <w:ind w:left="567" w:hanging="567"/>
        <w:jc w:val="both"/>
        <w:rPr>
          <w:rFonts w:cs="Arial"/>
        </w:rPr>
      </w:pPr>
    </w:p>
    <w:p w:rsidR="001D1120" w:rsidRPr="006E769E" w:rsidRDefault="001D1120" w:rsidP="001D1120">
      <w:pPr>
        <w:keepNext/>
        <w:keepLines/>
        <w:ind w:left="567" w:hanging="567"/>
        <w:jc w:val="both"/>
        <w:rPr>
          <w:rFonts w:cs="Arial"/>
          <w:b/>
        </w:rPr>
      </w:pPr>
      <w:r w:rsidRPr="006E769E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1D1120" w:rsidRPr="00D4414D" w:rsidTr="00F14FEC">
        <w:tc>
          <w:tcPr>
            <w:tcW w:w="510" w:type="dxa"/>
            <w:shd w:val="clear" w:color="auto" w:fill="auto"/>
          </w:tcPr>
          <w:p w:rsidR="001D1120" w:rsidRPr="004B65BF" w:rsidRDefault="001D1120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D1120" w:rsidRPr="00D4414D" w:rsidRDefault="001D1120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  <w:b/>
        </w:rPr>
      </w:pPr>
      <w:r w:rsidRPr="006E769E">
        <w:rPr>
          <w:rFonts w:cs="Arial"/>
          <w:b/>
        </w:rPr>
        <w:t>Remarques concernant les types de chaussures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  <w:b/>
        </w:rPr>
      </w:pPr>
      <w:r w:rsidRPr="006E769E">
        <w:rPr>
          <w:rFonts w:cs="Arial"/>
          <w:b/>
        </w:rPr>
        <w:t>Chaussures de série :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  <w:r w:rsidRPr="006E769E">
        <w:rPr>
          <w:rFonts w:cs="Arial"/>
        </w:rPr>
        <w:t xml:space="preserve">Les chaussures de série sont les chaussures que l'on trouve en confection. L'AI </w:t>
      </w:r>
      <w:proofErr w:type="gramStart"/>
      <w:r w:rsidRPr="006E769E">
        <w:rPr>
          <w:rFonts w:cs="Arial"/>
        </w:rPr>
        <w:t>prend</w:t>
      </w:r>
      <w:proofErr w:type="gramEnd"/>
      <w:r w:rsidRPr="006E769E">
        <w:rPr>
          <w:rFonts w:cs="Arial"/>
        </w:rPr>
        <w:t xml:space="preserve"> à sa charge les modifications onéreuses ou garantit une contribution financière en cas d'usure excessive due à l'invalidité.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  <w:b/>
        </w:rPr>
      </w:pPr>
      <w:r w:rsidRPr="006E769E">
        <w:rPr>
          <w:rFonts w:cs="Arial"/>
          <w:b/>
        </w:rPr>
        <w:t>Chaussures spéciales :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  <w:r w:rsidRPr="006E769E">
        <w:rPr>
          <w:rFonts w:cs="Arial"/>
        </w:rPr>
        <w:t>Les chaussures spéciales comprennent les chaussures de série fabriquées en confection munies d'éléments spéciaux visant à faciliter le déroulement, l'amortissement, la régulation ou la stabilisation, et qui sont donc destinées à soulager les déficits fonctionnels. Ces chaussures ne nécessitent généralement peu ou pas de corrections. Cette catégorie ne comprend pas (et aucune prestation n'est octroyée pour celles-ci) les chaussures de confort, les chaussures de série de haute qualité ainsi que les chaussures spéciales telles que chaussures de sport, pantoufles de gymnastique et de jogging, etc.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Pr="006E769E" w:rsidRDefault="001D1120" w:rsidP="001D1120">
      <w:pPr>
        <w:jc w:val="both"/>
        <w:rPr>
          <w:rFonts w:cs="Arial"/>
          <w:b/>
        </w:rPr>
      </w:pPr>
      <w:r w:rsidRPr="006E769E">
        <w:rPr>
          <w:rFonts w:cs="Arial"/>
          <w:b/>
        </w:rPr>
        <w:t>Chaussures orthopédiques de série :</w:t>
      </w:r>
    </w:p>
    <w:p w:rsidR="001D1120" w:rsidRPr="006E769E" w:rsidRDefault="001D1120" w:rsidP="001D1120">
      <w:pPr>
        <w:jc w:val="both"/>
        <w:rPr>
          <w:rFonts w:cs="Arial"/>
        </w:rPr>
      </w:pPr>
    </w:p>
    <w:p w:rsidR="001D1120" w:rsidRDefault="001D1120" w:rsidP="001D1120">
      <w:pPr>
        <w:jc w:val="both"/>
        <w:rPr>
          <w:rFonts w:cs="Arial"/>
        </w:rPr>
      </w:pPr>
      <w:r w:rsidRPr="006E769E">
        <w:rPr>
          <w:rFonts w:cs="Arial"/>
        </w:rPr>
        <w:t xml:space="preserve">Il s'agit d'un type de chaussures fabriquées en série, et qui sont disponibles sous forme </w:t>
      </w:r>
      <w:r w:rsidRPr="006E769E">
        <w:rPr>
          <w:rFonts w:cs="Arial"/>
          <w:u w:val="single"/>
        </w:rPr>
        <w:t>semi-finie</w:t>
      </w:r>
      <w:r w:rsidRPr="006E769E">
        <w:rPr>
          <w:rFonts w:cs="Arial"/>
        </w:rPr>
        <w:t>. Ces chaussures n'ont aucun lit plantaire. Celui-ci est donc fabriqué et monté individuellement par le bottier-orthopédiste diplômé. Une fois terminé, ce type de chaussure est assimilé à une chaussure sur mesure.</w:t>
      </w:r>
    </w:p>
    <w:p w:rsidR="001D1120" w:rsidRPr="006E769E" w:rsidRDefault="001D1120" w:rsidP="001D1120">
      <w:pPr>
        <w:jc w:val="both"/>
        <w:rPr>
          <w:rFonts w:cs="Arial"/>
        </w:rPr>
      </w:pPr>
    </w:p>
    <w:sectPr w:rsidR="001D1120" w:rsidRPr="006E769E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EC" w:rsidRDefault="00D02BEC" w:rsidP="001F7153">
      <w:r>
        <w:separator/>
      </w:r>
    </w:p>
  </w:endnote>
  <w:endnote w:type="continuationSeparator" w:id="0">
    <w:p w:rsidR="00D02BEC" w:rsidRDefault="00D02BEC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51F2C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3F3CD6">
      <w:rPr>
        <w:noProof/>
        <w:color w:val="43525A"/>
        <w:sz w:val="18"/>
        <w:szCs w:val="18"/>
      </w:rPr>
      <w:t>4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3F3CD6">
      <w:rPr>
        <w:noProof/>
        <w:color w:val="43525A"/>
        <w:sz w:val="18"/>
        <w:szCs w:val="18"/>
      </w:rPr>
      <w:t>4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A955AA">
      <w:rPr>
        <w:color w:val="43525A"/>
        <w:sz w:val="18"/>
        <w:szCs w:val="18"/>
      </w:rPr>
      <w:t>5438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B9F50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EC" w:rsidRDefault="00D02BEC" w:rsidP="001F7153">
      <w:r>
        <w:separator/>
      </w:r>
    </w:p>
  </w:footnote>
  <w:footnote w:type="continuationSeparator" w:id="0">
    <w:p w:rsidR="00D02BEC" w:rsidRDefault="00D02BEC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56E93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09DC6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EC"/>
    <w:rsid w:val="000C6305"/>
    <w:rsid w:val="000F6388"/>
    <w:rsid w:val="0010525A"/>
    <w:rsid w:val="001478ED"/>
    <w:rsid w:val="001B6153"/>
    <w:rsid w:val="001D1120"/>
    <w:rsid w:val="001D137D"/>
    <w:rsid w:val="001E463A"/>
    <w:rsid w:val="001F18CB"/>
    <w:rsid w:val="001F7153"/>
    <w:rsid w:val="00263606"/>
    <w:rsid w:val="0029720A"/>
    <w:rsid w:val="002B5CEB"/>
    <w:rsid w:val="003849D1"/>
    <w:rsid w:val="003F3CD6"/>
    <w:rsid w:val="00550F77"/>
    <w:rsid w:val="005A52FA"/>
    <w:rsid w:val="00631AF0"/>
    <w:rsid w:val="00642AEA"/>
    <w:rsid w:val="006D2526"/>
    <w:rsid w:val="00716194"/>
    <w:rsid w:val="00742106"/>
    <w:rsid w:val="00785275"/>
    <w:rsid w:val="007D172A"/>
    <w:rsid w:val="007F40E1"/>
    <w:rsid w:val="00806F2E"/>
    <w:rsid w:val="008329FB"/>
    <w:rsid w:val="00837EE5"/>
    <w:rsid w:val="008D69B3"/>
    <w:rsid w:val="009B2EEF"/>
    <w:rsid w:val="009B79DC"/>
    <w:rsid w:val="00A0046F"/>
    <w:rsid w:val="00A93A75"/>
    <w:rsid w:val="00A955AA"/>
    <w:rsid w:val="00AA3AE8"/>
    <w:rsid w:val="00AD36EC"/>
    <w:rsid w:val="00B326FF"/>
    <w:rsid w:val="00BF3D10"/>
    <w:rsid w:val="00C514A7"/>
    <w:rsid w:val="00CF447C"/>
    <w:rsid w:val="00D02BEC"/>
    <w:rsid w:val="00D30600"/>
    <w:rsid w:val="00E44A46"/>
    <w:rsid w:val="00EC322D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0B4E629-0DAD-4359-B723-48D242A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3298843-BEF3-452A-B321-D18B2955942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2022-03-08T15:00:00Z</dcterms:created>
  <dcterms:modified xsi:type="dcterms:W3CDTF">2022-03-11T15:54:00Z</dcterms:modified>
  <cp:version>03.2022</cp:version>
</cp:coreProperties>
</file>