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2C42B7" w:rsidP="005A52FA">
      <w:pPr>
        <w:rPr>
          <w:sz w:val="2"/>
          <w:szCs w:val="2"/>
        </w:rPr>
      </w:pPr>
    </w:p>
    <w:p w:rsidR="00451A7C" w:rsidRPr="00843D10" w:rsidRDefault="002C42B7" w:rsidP="00451A7C">
      <w:pPr>
        <w:jc w:val="both"/>
        <w:rPr>
          <w:sz w:val="14"/>
          <w:szCs w:val="14"/>
        </w:rPr>
      </w:pPr>
    </w:p>
    <w:p w:rsidR="005166D0" w:rsidRDefault="002C42B7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2C42B7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2C42B7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2C42B7">
            <w:pPr>
              <w:rPr>
                <w:rFonts w:cs="Arial"/>
              </w:rPr>
            </w:pPr>
          </w:p>
        </w:tc>
      </w:tr>
    </w:tbl>
    <w:p w:rsidR="00493C3C" w:rsidRDefault="002C42B7" w:rsidP="00493C3C">
      <w:pPr>
        <w:jc w:val="both"/>
        <w:rPr>
          <w:rFonts w:cs="Arial"/>
        </w:rPr>
      </w:pPr>
    </w:p>
    <w:p w:rsidR="00493C3C" w:rsidRDefault="002C42B7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2C42B7" w:rsidP="00493C3C">
      <w:pPr>
        <w:jc w:val="both"/>
        <w:rPr>
          <w:rFonts w:cs="Arial"/>
        </w:rPr>
      </w:pPr>
    </w:p>
    <w:p w:rsidR="001E21C3" w:rsidRPr="00493C3C" w:rsidRDefault="002C42B7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2C42B7" w:rsidP="00AC00DB">
      <w:pPr>
        <w:jc w:val="both"/>
        <w:rPr>
          <w:rFonts w:cs="Arial"/>
          <w:b/>
        </w:rPr>
      </w:pPr>
    </w:p>
    <w:p w:rsidR="00F674EF" w:rsidRDefault="002C42B7" w:rsidP="00AC00DB">
      <w:pPr>
        <w:jc w:val="both"/>
        <w:rPr>
          <w:rFonts w:cs="Arial"/>
          <w:b/>
        </w:rPr>
      </w:pPr>
    </w:p>
    <w:p w:rsidR="00C1073B" w:rsidRPr="008B7503" w:rsidRDefault="00C1073B" w:rsidP="00C1073B">
      <w:pPr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Expertise ORL </w:t>
      </w:r>
      <w:sdt>
        <w:sdtPr>
          <w:rPr>
            <w:rFonts w:cs="Arial"/>
            <w:b/>
          </w:rPr>
          <w:id w:val="1912723833"/>
          <w15:color w:val="800080"/>
          <w:comboBox>
            <w:listItem w:displayText="&gt;&gt;&gt;&gt;&gt;&gt;&gt;&gt;Choisir&lt;&lt;&lt;&lt;&lt;&lt;&lt;&lt;" w:value="&gt;&gt;&gt;&gt;&gt;&gt;&gt;&gt;Choisir&lt;&lt;&lt;&lt;&lt;&lt;&lt;&lt;"/>
            <w:listItem w:displayText="AI ou droits acquis" w:value="AI ou droits acquis"/>
            <w:listItem w:displayText="AI" w:value="AI"/>
            <w:listItem w:displayText="AVS" w:value="AVS"/>
            <w:listItem w:displayText="droits acquis AI" w:value="droits acquis AI"/>
          </w:comboBox>
        </w:sdtPr>
        <w:sdtEndPr/>
        <w:sdtContent>
          <w:r>
            <w:rPr>
              <w:rFonts w:cs="Arial"/>
              <w:b/>
            </w:rPr>
            <w:t>&gt;&gt;&gt;&gt;&gt;&gt;&gt;&gt;Choisir&lt;&lt;&lt;&lt;&lt;&lt;&lt;&lt;</w:t>
          </w:r>
        </w:sdtContent>
      </w:sdt>
      <w:r w:rsidRPr="008B7503">
        <w:rPr>
          <w:rFonts w:cs="Arial"/>
          <w:b/>
        </w:rPr>
        <w:t xml:space="preserve"> (002.030) pour l'examen du droit.</w:t>
      </w:r>
      <w:r>
        <w:rPr>
          <w:rFonts w:cs="Arial"/>
          <w:sz w:val="12"/>
        </w:rPr>
        <w:t xml:space="preserve">                                             (</w:t>
      </w:r>
      <w:proofErr w:type="gramStart"/>
      <w:r>
        <w:rPr>
          <w:rFonts w:cs="Arial"/>
          <w:sz w:val="12"/>
        </w:rPr>
        <w:t>v.</w:t>
      </w:r>
      <w:proofErr w:type="gramEnd"/>
      <w:r>
        <w:rPr>
          <w:rFonts w:cs="Arial"/>
          <w:sz w:val="12"/>
        </w:rPr>
        <w:t xml:space="preserve"> 03.2022)</w:t>
      </w:r>
    </w:p>
    <w:p w:rsidR="00C1073B" w:rsidRPr="008B7503" w:rsidRDefault="00C1073B" w:rsidP="00C1073B">
      <w:pPr>
        <w:jc w:val="both"/>
        <w:rPr>
          <w:rFonts w:cs="Arial"/>
        </w:rPr>
      </w:pPr>
    </w:p>
    <w:p w:rsidR="00C1073B" w:rsidRPr="008B7503" w:rsidRDefault="00C1073B" w:rsidP="00C1073B">
      <w:pPr>
        <w:jc w:val="both"/>
        <w:rPr>
          <w:rFonts w:cs="Arial"/>
        </w:rPr>
      </w:pPr>
    </w:p>
    <w:p w:rsidR="001333E6" w:rsidRPr="008B7503" w:rsidRDefault="001333E6" w:rsidP="001333E6">
      <w:pPr>
        <w:jc w:val="both"/>
        <w:rPr>
          <w:rFonts w:cs="Arial"/>
        </w:rPr>
      </w:pPr>
      <w:r w:rsidRPr="008B7503">
        <w:rPr>
          <w:rFonts w:cs="Arial"/>
          <w:b/>
        </w:rPr>
        <w:t>Question(s) complémentaire(s) de l'Office AI</w:t>
      </w:r>
      <w:r w:rsidRPr="008B7503">
        <w:rPr>
          <w:rFonts w:cs="Arial"/>
        </w:rPr>
        <w:t xml:space="preserve"> </w:t>
      </w:r>
      <w:r w:rsidRPr="008B7503">
        <w:rPr>
          <w:rFonts w:cs="Arial"/>
          <w:sz w:val="18"/>
        </w:rPr>
        <w:t>(vos réponses peuvent être faites sur une feuille annexe)</w:t>
      </w:r>
      <w:r w:rsidRPr="008B7503">
        <w:rPr>
          <w:rFonts w:cs="Arial"/>
        </w:rPr>
        <w:t xml:space="preserve"> :</w:t>
      </w:r>
    </w:p>
    <w:p w:rsidR="001333E6" w:rsidRPr="008B7503" w:rsidRDefault="001333E6" w:rsidP="001333E6">
      <w:pPr>
        <w:spacing w:before="120"/>
        <w:ind w:left="567" w:right="510"/>
        <w:jc w:val="both"/>
        <w:rPr>
          <w:rFonts w:cs="Arial"/>
          <w:i/>
        </w:rPr>
      </w:pPr>
      <w:r w:rsidRPr="008B7503">
        <w:rPr>
          <w:rFonts w:cs="Arial"/>
          <w:i/>
        </w:rPr>
        <w:fldChar w:fldCharType="begin">
          <w:ffData>
            <w:name w:val=""/>
            <w:enabled/>
            <w:calcOnExit w:val="0"/>
            <w:textInput>
              <w:default w:val="Aucune question complémentaire de l'Office AI"/>
            </w:textInput>
          </w:ffData>
        </w:fldChar>
      </w:r>
      <w:r w:rsidRPr="008B7503">
        <w:rPr>
          <w:rFonts w:cs="Arial"/>
          <w:i/>
        </w:rPr>
        <w:instrText xml:space="preserve"> FORMTEXT </w:instrText>
      </w:r>
      <w:r w:rsidRPr="008B7503">
        <w:rPr>
          <w:rFonts w:cs="Arial"/>
          <w:i/>
        </w:rPr>
      </w:r>
      <w:r w:rsidRPr="008B7503">
        <w:rPr>
          <w:rFonts w:cs="Arial"/>
          <w:i/>
        </w:rPr>
        <w:fldChar w:fldCharType="separate"/>
      </w:r>
      <w:r w:rsidRPr="008B7503">
        <w:rPr>
          <w:rFonts w:cs="Arial"/>
          <w:i/>
          <w:noProof/>
        </w:rPr>
        <w:t>Aucune question complémentaire de l'Office AI</w:t>
      </w:r>
      <w:r w:rsidRPr="008B7503">
        <w:rPr>
          <w:rFonts w:cs="Arial"/>
          <w:i/>
        </w:rPr>
        <w:fldChar w:fldCharType="end"/>
      </w:r>
      <w:r w:rsidRPr="008B7503">
        <w:rPr>
          <w:rFonts w:cs="Arial"/>
          <w:i/>
        </w:rPr>
        <w:t>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333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333E6" w:rsidRPr="008B7503" w:rsidRDefault="001333E6" w:rsidP="001333E6">
      <w:pPr>
        <w:jc w:val="both"/>
        <w:rPr>
          <w:rFonts w:cs="Arial"/>
        </w:rPr>
      </w:pPr>
    </w:p>
    <w:p w:rsidR="001333E6" w:rsidRPr="008B7503" w:rsidRDefault="001333E6" w:rsidP="001333E6">
      <w:pPr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1. </w:t>
      </w:r>
      <w:r w:rsidRPr="008B7503">
        <w:rPr>
          <w:rFonts w:cs="Arial"/>
          <w:b/>
        </w:rPr>
        <w:tab/>
        <w:t>Appareillage d’un enfant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2362"/>
        <w:gridCol w:w="7088"/>
      </w:tblGrid>
      <w:tr w:rsidR="001333E6" w:rsidRPr="00D4414D" w:rsidTr="00F14FEC">
        <w:trPr>
          <w:cantSplit/>
        </w:trPr>
        <w:tc>
          <w:tcPr>
            <w:tcW w:w="526" w:type="dxa"/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2362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2213502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1333E6" w:rsidRPr="00610394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i/>
                <w:noProof/>
              </w:rPr>
            </w:pPr>
            <w:r w:rsidRPr="00610394">
              <w:rPr>
                <w:rFonts w:cs="Arial"/>
                <w:i/>
              </w:rPr>
              <w:t>S’il s’agit d’un appareillage pour un enfant, nous vous prions d’établir un rapport libre et d’y joindre l’audiogramme tonal et vocal.</w:t>
            </w:r>
          </w:p>
        </w:tc>
      </w:tr>
    </w:tbl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2. </w:t>
      </w:r>
      <w:r w:rsidRPr="008B7503">
        <w:rPr>
          <w:rFonts w:cs="Arial"/>
          <w:b/>
        </w:rPr>
        <w:tab/>
        <w:t>Perte auditive et autres données</w:t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812"/>
          <w:tab w:val="left" w:pos="6804"/>
          <w:tab w:val="left" w:pos="7655"/>
          <w:tab w:val="left" w:pos="8080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ab/>
      </w:r>
      <w:r w:rsidRPr="008B7503">
        <w:rPr>
          <w:rFonts w:cs="Arial"/>
        </w:rPr>
        <w:tab/>
      </w:r>
      <w:r w:rsidRPr="008B7503">
        <w:rPr>
          <w:rFonts w:cs="Arial"/>
        </w:rPr>
        <w:tab/>
      </w:r>
      <w:r w:rsidRPr="008B7503">
        <w:rPr>
          <w:rFonts w:cs="Arial"/>
        </w:rPr>
        <w:tab/>
      </w:r>
      <w:r w:rsidRPr="008B7503">
        <w:rPr>
          <w:rFonts w:cs="Arial"/>
        </w:rPr>
        <w:tab/>
      </w:r>
      <w:r w:rsidRPr="008B7503">
        <w:rPr>
          <w:rFonts w:cs="Arial"/>
        </w:rPr>
        <w:tab/>
      </w:r>
      <w:proofErr w:type="gramStart"/>
      <w:r w:rsidRPr="008B7503">
        <w:rPr>
          <w:rFonts w:cs="Arial"/>
        </w:rPr>
        <w:t>à</w:t>
      </w:r>
      <w:proofErr w:type="gramEnd"/>
      <w:r w:rsidRPr="008B7503">
        <w:rPr>
          <w:rFonts w:cs="Arial"/>
        </w:rPr>
        <w:t xml:space="preserve"> droite en %</w:t>
      </w:r>
      <w:r w:rsidRPr="008B7503">
        <w:rPr>
          <w:rFonts w:cs="Arial"/>
        </w:rPr>
        <w:tab/>
      </w:r>
      <w:r w:rsidRPr="008B7503">
        <w:rPr>
          <w:rFonts w:cs="Arial"/>
        </w:rPr>
        <w:tab/>
        <w:t>à gauche en %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shd w:val="clear" w:color="auto" w:fill="auto"/>
          </w:tcPr>
          <w:p w:rsidR="001333E6" w:rsidRPr="002C42B7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4" w:type="dxa"/>
            <w:tcBorders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FD6F05">
              <w:rPr>
                <w:rFonts w:cs="Arial"/>
                <w:noProof/>
              </w:rPr>
              <w:t>Perte auditive selon l’audiogramme tonal</w:t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2362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center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2364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center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FD6F05">
              <w:rPr>
                <w:rFonts w:cs="Arial"/>
                <w:noProof/>
              </w:rPr>
              <w:t>Perte auditive selon l’audiogramme tonal</w:t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center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center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1333E6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  2.1 </w:t>
      </w:r>
      <w:r w:rsidRPr="008B7503">
        <w:rPr>
          <w:rFonts w:cs="Arial"/>
          <w:b/>
        </w:rPr>
        <w:tab/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>Personnes assurées AI et bénéficiaires de droits acquis dès 18 ans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shd w:val="clear" w:color="auto" w:fill="auto"/>
          </w:tcPr>
          <w:p w:rsidR="001333E6" w:rsidRPr="002C42B7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4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960E4F">
              <w:rPr>
                <w:rFonts w:cs="Arial"/>
                <w:noProof/>
              </w:rPr>
              <w:t>Perte auditive globale, valeur atteinte (en %) :</w:t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2362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  <w:r>
              <w:rPr>
                <w:rFonts w:cs="Arial"/>
                <w:noProof/>
              </w:rPr>
              <w:t xml:space="preserve"> %</w:t>
            </w:r>
          </w:p>
        </w:tc>
        <w:tc>
          <w:tcPr>
            <w:tcW w:w="2364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960E4F">
              <w:rPr>
                <w:rFonts w:cs="Arial"/>
                <w:noProof/>
              </w:rPr>
              <w:t>La valeur de seuil (min. 20 %) est atteinte :</w:t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211828453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986458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960E4F">
              <w:rPr>
                <w:rFonts w:cs="Arial"/>
                <w:noProof/>
              </w:rPr>
              <w:t xml:space="preserve">Activité lucrative ou accomplissement des </w:t>
            </w:r>
            <w:r>
              <w:rPr>
                <w:rFonts w:cs="Arial"/>
              </w:rPr>
              <w:tab/>
            </w:r>
            <w:r>
              <w:rPr>
                <w:rFonts w:cs="Arial"/>
                <w:noProof/>
              </w:rPr>
              <w:br/>
            </w:r>
            <w:r w:rsidRPr="00960E4F">
              <w:rPr>
                <w:rFonts w:cs="Arial"/>
                <w:noProof/>
              </w:rPr>
              <w:t>travaux habituels :</w:t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75420700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06155187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333E6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lastRenderedPageBreak/>
        <w:t xml:space="preserve">  2.2 </w:t>
      </w:r>
      <w:r w:rsidRPr="008B7503">
        <w:rPr>
          <w:rFonts w:cs="Arial"/>
          <w:b/>
        </w:rPr>
        <w:tab/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>Personnes assurées en âge AVS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960E4F">
              <w:rPr>
                <w:rFonts w:cs="Arial"/>
                <w:noProof/>
              </w:rPr>
              <w:t>Perte auditive globale, valeur atteinte (en %) :</w:t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2362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  <w:r>
              <w:rPr>
                <w:rFonts w:cs="Arial"/>
                <w:noProof/>
              </w:rPr>
              <w:t xml:space="preserve"> %</w:t>
            </w:r>
          </w:p>
        </w:tc>
        <w:tc>
          <w:tcPr>
            <w:tcW w:w="2364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917F8B">
              <w:rPr>
                <w:rFonts w:cs="Arial"/>
                <w:noProof/>
              </w:rPr>
              <w:t>La valeur de seuil (min. 35 %) est atteinte :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127771456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24725883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333E6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3. </w:t>
      </w:r>
      <w:r w:rsidRPr="008B7503">
        <w:rPr>
          <w:rFonts w:cs="Arial"/>
          <w:b/>
        </w:rPr>
        <w:tab/>
        <w:t>Appareillage binaural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8E4D40">
              <w:rPr>
                <w:rFonts w:cs="Arial"/>
                <w:noProof/>
              </w:rPr>
              <w:t>La différence de la perte auditive selon CPT AMA entre la droite et la gauche se situe en-dessous de 30 % :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0010667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283006726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8E4D40">
              <w:rPr>
                <w:rFonts w:cs="Arial"/>
                <w:noProof/>
              </w:rPr>
              <w:t>La différence de la perte des distinctions au test de langage dans le silence entre la droite et la gauche se situe à moins de 50 % :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-517996138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-89012212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8E4D40">
              <w:rPr>
                <w:rFonts w:cs="Arial"/>
                <w:noProof/>
              </w:rPr>
              <w:t>La différence des niveaux de langage (50 % de compréhension des chiffres, à deux syllabes ou une syllabe) entre la droite et la gauche se situe à moins de 50 dB :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C60260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cs="Arial"/>
                </w:rPr>
                <w:id w:val="-93682535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-2100936808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8B7503">
        <w:rPr>
          <w:rFonts w:cs="Arial"/>
        </w:rPr>
        <w:t>Remarques complémentaires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333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333E6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  <w:p w:rsidR="001333E6" w:rsidRPr="004B65BF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</w:p>
        </w:tc>
      </w:tr>
    </w:tbl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>Au moins 2 des 3 critères doivent être remplis et un déficit audiométrique mesurable doit être présent des deux côtés pour qu’un appareillage binaural soit indiqué.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2C42B7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8E4D40">
              <w:rPr>
                <w:rFonts w:cs="Arial"/>
                <w:noProof/>
              </w:rPr>
              <w:t>Appareillage binaural ?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-9340230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-187352282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8E4D40">
              <w:rPr>
                <w:rFonts w:cs="Arial"/>
                <w:noProof/>
              </w:rPr>
              <w:t>Fourniture CROS ou BICROS ?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6353336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-1145420760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333E6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4. </w:t>
      </w:r>
      <w:r w:rsidRPr="008B7503">
        <w:rPr>
          <w:rFonts w:cs="Arial"/>
          <w:b/>
        </w:rPr>
        <w:tab/>
        <w:t>Cas spéciaux (seulement AI) avec une perte auditive binaurale entre 15 et 20%</w:t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8B7503">
        <w:rPr>
          <w:rFonts w:cs="Arial"/>
        </w:rPr>
        <w:t>En cas de perte totale de l’ouïe entre 15 et 20 % par une personne assurée AI selon le ch. 2.1 : droit à une prise en charge par l’AI si le critère 4.1 est rempli ou - au cas où celui-ci ne serait pas rempli - si le critère 4.2 l’est. Si le critère du chiffre 4.3 est rempli, le droit à une prise en charge d’un appareil monaural est ouvert.</w:t>
      </w: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  4.1 </w:t>
      </w:r>
      <w:r w:rsidRPr="008B7503">
        <w:rPr>
          <w:rFonts w:cs="Arial"/>
          <w:b/>
        </w:rPr>
        <w:tab/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>Perte dans les aigus (les 3 critères doivent être remplis des deux côtés)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2C42B7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8E4D40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ind w:left="251" w:hanging="251"/>
              <w:jc w:val="both"/>
              <w:rPr>
                <w:rFonts w:cs="Arial"/>
                <w:noProof/>
              </w:rPr>
            </w:pPr>
            <w:r w:rsidRPr="008E4D40">
              <w:rPr>
                <w:rFonts w:cs="Arial"/>
                <w:noProof/>
              </w:rPr>
              <w:t>-</w:t>
            </w:r>
            <w:r w:rsidRPr="008E4D40">
              <w:rPr>
                <w:rFonts w:cs="Arial"/>
                <w:noProof/>
              </w:rPr>
              <w:tab/>
              <w:t>PA à 500 Hz au plus 20 dB</w:t>
            </w:r>
          </w:p>
          <w:p w:rsidR="001333E6" w:rsidRPr="008E4D40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ind w:left="251" w:hanging="251"/>
              <w:jc w:val="both"/>
              <w:rPr>
                <w:rFonts w:cs="Arial"/>
                <w:noProof/>
              </w:rPr>
            </w:pPr>
            <w:r w:rsidRPr="008E4D40">
              <w:rPr>
                <w:rFonts w:cs="Arial"/>
                <w:noProof/>
              </w:rPr>
              <w:t>-</w:t>
            </w:r>
            <w:r w:rsidRPr="008E4D40">
              <w:rPr>
                <w:rFonts w:cs="Arial"/>
                <w:noProof/>
              </w:rPr>
              <w:tab/>
              <w:t>PA à 2000 Hz au moins 30 dB</w:t>
            </w:r>
          </w:p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ind w:left="251" w:hanging="251"/>
              <w:jc w:val="both"/>
              <w:rPr>
                <w:rFonts w:cs="Arial"/>
                <w:noProof/>
              </w:rPr>
            </w:pPr>
            <w:r w:rsidRPr="008E4D40">
              <w:rPr>
                <w:rFonts w:cs="Arial"/>
                <w:noProof/>
              </w:rPr>
              <w:t>-</w:t>
            </w:r>
            <w:r w:rsidRPr="008E4D40">
              <w:rPr>
                <w:rFonts w:cs="Arial"/>
                <w:noProof/>
              </w:rPr>
              <w:tab/>
              <w:t>Augmentation PA de 1000 Hz sur 2000 Hz ou de 2000 Hz sur 4000 Hz au moins 30 dB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C60260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</w:rPr>
                <w:id w:val="52075613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60260">
              <w:rPr>
                <w:rFonts w:asciiTheme="minorHAnsi" w:hAnsiTheme="minorHAnsi" w:cstheme="minorHAnsi"/>
              </w:rPr>
              <w:t xml:space="preserve"> </w:t>
            </w:r>
            <w:r w:rsidRPr="00C60260">
              <w:rPr>
                <w:rFonts w:asciiTheme="minorHAnsi" w:hAnsiTheme="minorHAnsi" w:cstheme="minorHAnsi"/>
                <w:noProof/>
              </w:rPr>
              <w:t>Rempli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C60260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</w:rPr>
                <w:id w:val="-63024809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60260">
              <w:rPr>
                <w:rFonts w:asciiTheme="minorHAnsi" w:hAnsiTheme="minorHAnsi" w:cstheme="minorHAnsi"/>
              </w:rPr>
              <w:t xml:space="preserve"> </w:t>
            </w:r>
            <w:r w:rsidRPr="00C60260">
              <w:rPr>
                <w:rFonts w:asciiTheme="minorHAnsi" w:hAnsiTheme="minorHAnsi" w:cstheme="minorHAnsi"/>
                <w:noProof/>
              </w:rPr>
              <w:t>Non rempli</w:t>
            </w:r>
          </w:p>
        </w:tc>
      </w:tr>
    </w:tbl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  4.2 </w:t>
      </w:r>
      <w:r w:rsidRPr="008B7503">
        <w:rPr>
          <w:rFonts w:cs="Arial"/>
          <w:b/>
        </w:rPr>
        <w:tab/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>Compréhension dans le bruit: SNR &gt; 4 dB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2C42B7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713F17">
              <w:rPr>
                <w:rFonts w:cs="Arial"/>
                <w:noProof/>
              </w:rPr>
              <w:t>À l’oreille à appareiller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asciiTheme="minorHAnsi" w:hAnsiTheme="minorHAnsi" w:cstheme="minorHAnsi"/>
                </w:rPr>
                <w:id w:val="205226611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60260">
              <w:rPr>
                <w:rFonts w:asciiTheme="minorHAnsi" w:hAnsiTheme="minorHAnsi" w:cstheme="minorHAnsi"/>
              </w:rPr>
              <w:t xml:space="preserve"> </w:t>
            </w:r>
            <w:r w:rsidRPr="00C60260">
              <w:rPr>
                <w:rFonts w:asciiTheme="minorHAnsi" w:hAnsiTheme="minorHAnsi" w:cstheme="minorHAnsi"/>
                <w:noProof/>
              </w:rPr>
              <w:t>Rempli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asciiTheme="minorHAnsi" w:hAnsiTheme="minorHAnsi" w:cstheme="minorHAnsi"/>
                </w:rPr>
                <w:id w:val="64470961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60260">
              <w:rPr>
                <w:rFonts w:asciiTheme="minorHAnsi" w:hAnsiTheme="minorHAnsi" w:cstheme="minorHAnsi"/>
              </w:rPr>
              <w:t xml:space="preserve"> </w:t>
            </w:r>
            <w:r w:rsidRPr="00C60260">
              <w:rPr>
                <w:rFonts w:asciiTheme="minorHAnsi" w:hAnsiTheme="minorHAnsi" w:cstheme="minorHAnsi"/>
                <w:noProof/>
              </w:rPr>
              <w:t>Non rempli</w:t>
            </w:r>
          </w:p>
        </w:tc>
      </w:tr>
    </w:tbl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lastRenderedPageBreak/>
        <w:t xml:space="preserve">  4.3 </w:t>
      </w:r>
      <w:r w:rsidRPr="008B7503">
        <w:rPr>
          <w:rFonts w:cs="Arial"/>
          <w:b/>
        </w:rPr>
        <w:tab/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>Surdité unilatérale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713F17">
              <w:rPr>
                <w:rFonts w:cs="Arial"/>
                <w:noProof/>
              </w:rPr>
              <w:t xml:space="preserve">Perte auditive monaurale à l’oreille à </w:t>
            </w:r>
            <w:r>
              <w:rPr>
                <w:rFonts w:cs="Arial"/>
              </w:rPr>
              <w:tab/>
            </w:r>
            <w:r>
              <w:rPr>
                <w:rFonts w:cs="Arial"/>
                <w:noProof/>
              </w:rPr>
              <w:br/>
            </w:r>
            <w:r w:rsidRPr="00713F17">
              <w:rPr>
                <w:rFonts w:cs="Arial"/>
                <w:noProof/>
              </w:rPr>
              <w:t>appareiller &gt; 25 %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asciiTheme="minorHAnsi" w:hAnsiTheme="minorHAnsi" w:cstheme="minorHAnsi"/>
                </w:rPr>
                <w:id w:val="-477380456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60260">
              <w:rPr>
                <w:rFonts w:asciiTheme="minorHAnsi" w:hAnsiTheme="minorHAnsi" w:cstheme="minorHAnsi"/>
              </w:rPr>
              <w:t xml:space="preserve"> </w:t>
            </w:r>
            <w:r w:rsidRPr="00C60260">
              <w:rPr>
                <w:rFonts w:asciiTheme="minorHAnsi" w:hAnsiTheme="minorHAnsi" w:cstheme="minorHAnsi"/>
                <w:noProof/>
              </w:rPr>
              <w:t>Rempli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asciiTheme="minorHAnsi" w:hAnsiTheme="minorHAnsi" w:cstheme="minorHAnsi"/>
                </w:rPr>
                <w:id w:val="-55030647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60260">
              <w:rPr>
                <w:rFonts w:asciiTheme="minorHAnsi" w:hAnsiTheme="minorHAnsi" w:cstheme="minorHAnsi"/>
              </w:rPr>
              <w:t xml:space="preserve"> </w:t>
            </w:r>
            <w:r w:rsidRPr="00C60260">
              <w:rPr>
                <w:rFonts w:asciiTheme="minorHAnsi" w:hAnsiTheme="minorHAnsi" w:cstheme="minorHAnsi"/>
                <w:noProof/>
              </w:rPr>
              <w:t>Non rempli</w:t>
            </w:r>
          </w:p>
        </w:tc>
      </w:tr>
    </w:tbl>
    <w:p w:rsidR="001333E6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5. </w:t>
      </w:r>
      <w:r w:rsidRPr="008B7503">
        <w:rPr>
          <w:rFonts w:cs="Arial"/>
          <w:b/>
        </w:rPr>
        <w:tab/>
        <w:t>Facteurs aggravants supplémentaires</w:t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i/>
        </w:rPr>
      </w:pPr>
      <w:r w:rsidRPr="008B7503">
        <w:rPr>
          <w:rFonts w:cs="Arial"/>
          <w:i/>
        </w:rPr>
        <w:t>(Seulement pour personnes assurées AI et bénéficiaires de droits acquis dès 18 ans)</w:t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8B7503">
        <w:rPr>
          <w:rFonts w:cs="Arial"/>
        </w:rPr>
        <w:t>Complications qui rendront vraisemblablement bien plus difficile l’adaptation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2C42B7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8B7503">
              <w:rPr>
                <w:rFonts w:cs="Arial"/>
              </w:rPr>
              <w:t>Handicap visuel majeur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-15701876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17F8B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="Segoe UI Symbol" w:hAnsi="Segoe UI Symbol" w:cs="Segoe UI Symbol"/>
                <w:noProof/>
              </w:rPr>
            </w:pPr>
            <w:sdt>
              <w:sdtPr>
                <w:rPr>
                  <w:rFonts w:cs="Arial"/>
                </w:rPr>
                <w:id w:val="900492022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8B7503">
              <w:rPr>
                <w:rFonts w:cs="Arial"/>
              </w:rPr>
              <w:t>Handicaps qui limitent de manière significative l’utilisation des appareils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9232B8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346070406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32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232B8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03638136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32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8B7503">
        <w:rPr>
          <w:rFonts w:cs="Arial"/>
        </w:rPr>
        <w:t>Si oui, description du handicap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698"/>
        <w:gridCol w:w="2362"/>
        <w:gridCol w:w="2364"/>
      </w:tblGrid>
      <w:tr w:rsidR="001333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24" w:type="dxa"/>
            <w:gridSpan w:val="3"/>
            <w:shd w:val="clear" w:color="auto" w:fill="auto"/>
          </w:tcPr>
          <w:p w:rsidR="001333E6" w:rsidRPr="004B65BF" w:rsidRDefault="001333E6" w:rsidP="001333E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  <w:tr w:rsidR="001333E6" w:rsidRPr="00D4414D" w:rsidTr="00F14FEC">
        <w:trPr>
          <w:cantSplit/>
        </w:trPr>
        <w:tc>
          <w:tcPr>
            <w:tcW w:w="510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698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8B7503">
              <w:rPr>
                <w:rFonts w:cs="Arial"/>
              </w:rPr>
              <w:t>Complications</w:t>
            </w:r>
            <w:r w:rsidRPr="008B7503">
              <w:rPr>
                <w:rFonts w:cs="Arial"/>
                <w:sz w:val="18"/>
              </w:rPr>
              <w:t xml:space="preserve"> </w:t>
            </w:r>
            <w:proofErr w:type="spellStart"/>
            <w:r w:rsidRPr="008B7503">
              <w:rPr>
                <w:rFonts w:cs="Arial"/>
              </w:rPr>
              <w:t>audiologiques</w:t>
            </w:r>
            <w:proofErr w:type="spellEnd"/>
            <w:r w:rsidRPr="008B7503">
              <w:rPr>
                <w:rFonts w:cs="Arial"/>
                <w:sz w:val="18"/>
              </w:rPr>
              <w:t xml:space="preserve"> </w:t>
            </w:r>
            <w:r w:rsidRPr="008B7503">
              <w:rPr>
                <w:rFonts w:cs="Arial"/>
              </w:rPr>
              <w:t>pour</w:t>
            </w:r>
            <w:r w:rsidRPr="008B7503">
              <w:rPr>
                <w:rFonts w:cs="Arial"/>
                <w:sz w:val="18"/>
              </w:rPr>
              <w:t xml:space="preserve"> </w:t>
            </w:r>
            <w:r w:rsidRPr="008B7503">
              <w:rPr>
                <w:rFonts w:cs="Arial"/>
              </w:rPr>
              <w:t>l’adaptation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9232B8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7879723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32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9232B8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67747031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32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8B7503">
        <w:rPr>
          <w:rFonts w:cs="Arial"/>
        </w:rPr>
        <w:t>Si oui, description des complications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333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6. </w:t>
      </w:r>
      <w:r w:rsidRPr="008B7503">
        <w:rPr>
          <w:rFonts w:cs="Arial"/>
          <w:b/>
        </w:rPr>
        <w:tab/>
      </w:r>
      <w:proofErr w:type="spellStart"/>
      <w:r w:rsidRPr="008B7503">
        <w:rPr>
          <w:rFonts w:cs="Arial"/>
          <w:b/>
        </w:rPr>
        <w:t>Réappareillage</w:t>
      </w:r>
      <w:proofErr w:type="spellEnd"/>
      <w:r w:rsidRPr="008B7503">
        <w:rPr>
          <w:rFonts w:cs="Arial"/>
          <w:b/>
        </w:rPr>
        <w:t xml:space="preserve"> anticipé</w:t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387"/>
          <w:tab w:val="left" w:pos="6804"/>
          <w:tab w:val="left" w:pos="7797"/>
          <w:tab w:val="left" w:pos="8222"/>
          <w:tab w:val="left" w:pos="9356"/>
        </w:tabs>
        <w:spacing w:before="120"/>
        <w:ind w:left="567"/>
        <w:jc w:val="both"/>
        <w:rPr>
          <w:rFonts w:cs="Arial"/>
        </w:rPr>
      </w:pPr>
      <w:r w:rsidRPr="008B7503">
        <w:rPr>
          <w:rFonts w:cs="Arial"/>
        </w:rPr>
        <w:tab/>
      </w:r>
      <w:r w:rsidRPr="008B7503">
        <w:rPr>
          <w:rFonts w:cs="Arial"/>
        </w:rPr>
        <w:tab/>
      </w:r>
      <w:r w:rsidRPr="008B7503">
        <w:rPr>
          <w:rFonts w:cs="Arial"/>
        </w:rPr>
        <w:tab/>
      </w:r>
      <w:r w:rsidRPr="008B7503">
        <w:rPr>
          <w:rFonts w:cs="Arial"/>
        </w:rPr>
        <w:tab/>
      </w:r>
      <w:r w:rsidRPr="008B7503">
        <w:rPr>
          <w:rFonts w:cs="Arial"/>
        </w:rPr>
        <w:tab/>
      </w:r>
      <w:r>
        <w:rPr>
          <w:rFonts w:cs="Arial"/>
        </w:rPr>
        <w:tab/>
      </w:r>
      <w:proofErr w:type="gramStart"/>
      <w:r w:rsidRPr="008B7503">
        <w:rPr>
          <w:rFonts w:cs="Arial"/>
        </w:rPr>
        <w:t>à</w:t>
      </w:r>
      <w:proofErr w:type="gramEnd"/>
      <w:r w:rsidRPr="008B7503">
        <w:rPr>
          <w:rFonts w:cs="Arial"/>
        </w:rPr>
        <w:t xml:space="preserve"> droite</w:t>
      </w:r>
      <w:r w:rsidRPr="008B7503">
        <w:rPr>
          <w:rFonts w:cs="Arial"/>
        </w:rPr>
        <w:tab/>
      </w:r>
      <w:r w:rsidRPr="008B7503">
        <w:rPr>
          <w:rFonts w:cs="Arial"/>
        </w:rPr>
        <w:tab/>
        <w:t>à gauche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shd w:val="clear" w:color="auto" w:fill="auto"/>
          </w:tcPr>
          <w:p w:rsidR="001333E6" w:rsidRPr="002C42B7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4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2952AD">
              <w:rPr>
                <w:rFonts w:cs="Arial"/>
                <w:noProof/>
              </w:rPr>
              <w:t>L’adaptation de l’appareil (selon les données du fabricant ou au moyen de mesure) ne suffit actuellement plus dans les fréquences suivantes</w:t>
            </w:r>
          </w:p>
        </w:tc>
        <w:tc>
          <w:tcPr>
            <w:tcW w:w="2362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2364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2952AD">
              <w:rPr>
                <w:rFonts w:cs="Arial"/>
                <w:noProof/>
              </w:rPr>
              <w:t>Perte auditive dans l’audiogramme tonal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  <w:r>
              <w:rPr>
                <w:rFonts w:cs="Arial"/>
                <w:noProof/>
              </w:rPr>
              <w:t xml:space="preserve"> %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  <w:r>
              <w:rPr>
                <w:rFonts w:cs="Arial"/>
                <w:noProof/>
              </w:rPr>
              <w:t xml:space="preserve"> %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2952AD">
              <w:rPr>
                <w:rFonts w:cs="Arial"/>
                <w:noProof/>
              </w:rPr>
              <w:t>Perte auditive dans l’audiogramme vocal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  <w:r>
              <w:rPr>
                <w:rFonts w:cs="Arial"/>
                <w:noProof/>
              </w:rPr>
              <w:t xml:space="preserve"> %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  <w:r>
              <w:rPr>
                <w:rFonts w:cs="Arial"/>
                <w:noProof/>
              </w:rPr>
              <w:t xml:space="preserve"> %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470C06">
              <w:rPr>
                <w:rFonts w:cs="Arial"/>
                <w:noProof/>
              </w:rPr>
              <w:t>Augmentation de la perte auditive globale en pourcents</w:t>
            </w:r>
          </w:p>
        </w:tc>
        <w:tc>
          <w:tcPr>
            <w:tcW w:w="4726" w:type="dxa"/>
            <w:gridSpan w:val="2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470C06">
              <w:rPr>
                <w:rFonts w:cs="Arial"/>
                <w:noProof/>
              </w:rPr>
              <w:t>L’augmentation de la perte auditive globale correspond à &gt; 15 %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asciiTheme="minorHAnsi" w:hAnsiTheme="minorHAnsi" w:cs="Arial"/>
                </w:rPr>
                <w:id w:val="1563138156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2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asciiTheme="minorHAnsi" w:hAnsiTheme="minorHAnsi" w:cs="Arial"/>
                </w:rPr>
                <w:id w:val="-1021692636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2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333E6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>Seulement pour les personnes avec au moins 60 % de perte auditive totale par rapport à la dernière expertise</w:t>
      </w:r>
      <w:r>
        <w:rPr>
          <w:rFonts w:cs="Arial"/>
        </w:rPr>
        <w:t xml:space="preserve"> </w:t>
      </w:r>
      <w:r w:rsidRPr="008B7503">
        <w:rPr>
          <w:rFonts w:cs="Arial"/>
        </w:rPr>
        <w:t>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2C42B7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AE21A5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AE21A5">
              <w:rPr>
                <w:rFonts w:cs="Arial"/>
                <w:noProof/>
              </w:rPr>
              <w:t xml:space="preserve">Augmentation de la perte auditive globale </w:t>
            </w:r>
          </w:p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AE21A5">
              <w:rPr>
                <w:rFonts w:cs="Arial"/>
                <w:noProof/>
              </w:rPr>
              <w:t>est &gt; 10 %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asciiTheme="minorHAnsi" w:hAnsiTheme="minorHAnsi" w:cs="Arial"/>
                </w:rPr>
                <w:id w:val="-44824115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2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asciiTheme="minorHAnsi" w:hAnsiTheme="minorHAnsi" w:cs="Arial"/>
                </w:rPr>
                <w:id w:val="-207858241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2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AE21A5">
              <w:rPr>
                <w:rFonts w:cs="Arial"/>
                <w:noProof/>
              </w:rPr>
              <w:t>Type d'appareil (numéro METAS)</w:t>
            </w:r>
          </w:p>
        </w:tc>
        <w:tc>
          <w:tcPr>
            <w:tcW w:w="4726" w:type="dxa"/>
            <w:gridSpan w:val="2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lastRenderedPageBreak/>
        <w:t xml:space="preserve">7. </w:t>
      </w:r>
      <w:r w:rsidRPr="008B7503">
        <w:rPr>
          <w:rFonts w:cs="Arial"/>
          <w:b/>
        </w:rPr>
        <w:tab/>
        <w:t>Résumé d’anamnèse et état de l’audition (résultat)</w:t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670"/>
          <w:tab w:val="left" w:pos="6804"/>
          <w:tab w:val="left" w:pos="7655"/>
          <w:tab w:val="left" w:pos="8222"/>
          <w:tab w:val="left" w:pos="9356"/>
        </w:tabs>
        <w:spacing w:before="120"/>
        <w:ind w:left="567"/>
        <w:jc w:val="both"/>
        <w:rPr>
          <w:rFonts w:cs="Arial"/>
        </w:rPr>
      </w:pPr>
      <w:r w:rsidRPr="008B7503">
        <w:rPr>
          <w:rFonts w:cs="Arial"/>
        </w:rPr>
        <w:t>Indications sur la cause et le début des problèmes d’audition et éventuelles indications sur le système d’appareil utilisé jusqu’à aujourd’hui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333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333E6" w:rsidRPr="004B65BF" w:rsidRDefault="001333E6" w:rsidP="001333E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8. </w:t>
      </w:r>
      <w:r w:rsidRPr="008B7503">
        <w:rPr>
          <w:rFonts w:cs="Arial"/>
          <w:b/>
        </w:rPr>
        <w:tab/>
        <w:t>Accident et maladie professionnelle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F26148">
              <w:rPr>
                <w:rFonts w:cs="Arial"/>
                <w:noProof/>
              </w:rPr>
              <w:t>La diminution de l’ouïe est-elle en lien avec un accident, une maladie professionnelle reconnue ou un dommage de l’oreille couvert par l’assurance-militaire ?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asciiTheme="minorHAnsi" w:hAnsiTheme="minorHAnsi" w:cs="Arial"/>
                </w:rPr>
                <w:id w:val="-190946158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2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asciiTheme="minorHAnsi" w:hAnsiTheme="minorHAnsi" w:cs="Arial"/>
                </w:rPr>
                <w:id w:val="665823792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2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  <w:tr w:rsidR="001333E6" w:rsidRPr="00D4414D" w:rsidTr="00F14FEC">
        <w:trPr>
          <w:cantSplit/>
        </w:trPr>
        <w:tc>
          <w:tcPr>
            <w:tcW w:w="526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nil"/>
            </w:tcBorders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top w:val="single" w:sz="2" w:space="0" w:color="F2F2F2"/>
              <w:left w:val="nil"/>
              <w:bottom w:val="single" w:sz="2" w:space="0" w:color="F2F2F2"/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F26148">
              <w:rPr>
                <w:rFonts w:cs="Arial"/>
                <w:noProof/>
              </w:rPr>
              <w:t>Si oui, le problème d’ouïe a-t-il été annoncé à l’assurance-accident, resp. militaire et examiné par l’assurance concernée selon ses conditions ?</w:t>
            </w:r>
          </w:p>
        </w:tc>
        <w:tc>
          <w:tcPr>
            <w:tcW w:w="2362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asciiTheme="minorHAnsi" w:hAnsiTheme="minorHAnsi" w:cs="Arial"/>
                </w:rPr>
                <w:id w:val="-97875697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61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2364" w:type="dxa"/>
            <w:tcBorders>
              <w:top w:val="single" w:sz="2" w:space="0" w:color="F2F2F2"/>
              <w:left w:val="single" w:sz="12" w:space="0" w:color="BFBFBF" w:themeColor="background1" w:themeShade="BF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asciiTheme="minorHAnsi" w:hAnsiTheme="minorHAnsi" w:cs="Arial"/>
                </w:rPr>
                <w:id w:val="-22159859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61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333E6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9. </w:t>
      </w:r>
      <w:r w:rsidRPr="008B7503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1333E6" w:rsidRPr="00D4414D" w:rsidTr="00F14FEC">
        <w:tc>
          <w:tcPr>
            <w:tcW w:w="510" w:type="dxa"/>
            <w:shd w:val="clear" w:color="auto" w:fill="auto"/>
          </w:tcPr>
          <w:p w:rsidR="001333E6" w:rsidRPr="004B65BF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t xml:space="preserve">Timbre et signature </w:t>
            </w:r>
            <w:r>
              <w:rPr>
                <w:rFonts w:cs="Arial"/>
              </w:rPr>
              <w:t xml:space="preserve">de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br/>
              <w:t>l'expert / de l'experte</w:t>
            </w:r>
            <w:r w:rsidRPr="00D4414D">
              <w:rPr>
                <w:rFonts w:cs="Arial"/>
              </w:rPr>
              <w:t xml:space="preserve"> :</w:t>
            </w:r>
            <w:r w:rsidRPr="00D4414D">
              <w:rPr>
                <w:rFonts w:cs="Arial"/>
                <w:noProof/>
              </w:rPr>
              <w:t xml:space="preserve"> </w:t>
            </w:r>
          </w:p>
        </w:tc>
      </w:tr>
    </w:tbl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8B7503">
        <w:rPr>
          <w:rFonts w:cs="Arial"/>
        </w:rPr>
        <w:t>Adresse exacte (cabinet/service)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333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333E6" w:rsidRPr="004B65BF" w:rsidRDefault="001333E6" w:rsidP="001333E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333E6" w:rsidRPr="008B7503" w:rsidRDefault="001333E6" w:rsidP="001333E6">
      <w:pPr>
        <w:keepNext/>
        <w:keepLines/>
        <w:ind w:left="567" w:hanging="567"/>
        <w:jc w:val="both"/>
        <w:rPr>
          <w:rFonts w:cs="Arial"/>
          <w:b/>
        </w:rPr>
      </w:pPr>
      <w:r w:rsidRPr="008B7503">
        <w:rPr>
          <w:rFonts w:cs="Arial"/>
          <w:b/>
        </w:rPr>
        <w:t xml:space="preserve">10. </w:t>
      </w:r>
      <w:r w:rsidRPr="008B7503">
        <w:rPr>
          <w:rFonts w:cs="Arial"/>
          <w:b/>
        </w:rPr>
        <w:tab/>
        <w:t>Annexes</w:t>
      </w:r>
    </w:p>
    <w:p w:rsidR="001333E6" w:rsidRPr="008B7503" w:rsidRDefault="001333E6" w:rsidP="001333E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8B7503">
        <w:rPr>
          <w:rFonts w:cs="Arial"/>
        </w:rPr>
        <w:t xml:space="preserve">Nous vous prions de joindre les </w:t>
      </w:r>
      <w:r w:rsidRPr="008B7503">
        <w:rPr>
          <w:rFonts w:cs="Arial"/>
          <w:u w:val="single"/>
        </w:rPr>
        <w:t>copies</w:t>
      </w:r>
      <w:r w:rsidRPr="008B7503">
        <w:rPr>
          <w:rFonts w:cs="Arial"/>
        </w:rPr>
        <w:t xml:space="preserve"> des audiogrammes tonal et vocal. En cas de </w:t>
      </w:r>
      <w:proofErr w:type="spellStart"/>
      <w:r w:rsidRPr="008B7503">
        <w:rPr>
          <w:rFonts w:cs="Arial"/>
        </w:rPr>
        <w:t>réappareillage</w:t>
      </w:r>
      <w:proofErr w:type="spellEnd"/>
      <w:r w:rsidRPr="008B7503">
        <w:rPr>
          <w:rFonts w:cs="Arial"/>
        </w:rPr>
        <w:t xml:space="preserve"> anticipé, nous avons besoin, en plus, des audiogrammes tonal et vocal qui ont fondé les appareillages antérieurs. Veuillez ne pas annexer vos documents originaux : les courriers reçus par l'Office AI sont numérisés dès réception et immédiatement détruits.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333E6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333E6" w:rsidRPr="00D4414D" w:rsidRDefault="001333E6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333E6" w:rsidRPr="004B65BF" w:rsidRDefault="001333E6" w:rsidP="001333E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333E6" w:rsidRPr="008B7503" w:rsidRDefault="001333E6" w:rsidP="001333E6">
      <w:pPr>
        <w:jc w:val="both"/>
        <w:rPr>
          <w:rFonts w:cs="Arial"/>
        </w:rPr>
      </w:pPr>
      <w:bookmarkStart w:id="0" w:name="_GoBack"/>
      <w:bookmarkEnd w:id="0"/>
    </w:p>
    <w:sectPr w:rsidR="001333E6" w:rsidRPr="008B7503" w:rsidSect="001B6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E5" w:rsidRDefault="00020BE5" w:rsidP="001F7153">
      <w:r>
        <w:separator/>
      </w:r>
    </w:p>
  </w:endnote>
  <w:endnote w:type="continuationSeparator" w:id="0">
    <w:p w:rsidR="00020BE5" w:rsidRDefault="00020BE5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F4F78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2C42B7">
      <w:rPr>
        <w:noProof/>
        <w:color w:val="43525A"/>
        <w:sz w:val="18"/>
        <w:szCs w:val="18"/>
      </w:rPr>
      <w:t>4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2C42B7">
      <w:rPr>
        <w:noProof/>
        <w:color w:val="43525A"/>
        <w:sz w:val="18"/>
        <w:szCs w:val="18"/>
      </w:rPr>
      <w:t>4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FC4AEC">
      <w:rPr>
        <w:color w:val="43525A"/>
        <w:sz w:val="18"/>
        <w:szCs w:val="18"/>
      </w:rPr>
      <w:t>002.0</w:t>
    </w:r>
    <w:r w:rsidR="00F1495B">
      <w:rPr>
        <w:color w:val="43525A"/>
        <w:sz w:val="18"/>
        <w:szCs w:val="18"/>
      </w:rPr>
      <w:t>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196DC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E5" w:rsidRDefault="00020BE5" w:rsidP="001F7153">
      <w:r>
        <w:separator/>
      </w:r>
    </w:p>
  </w:footnote>
  <w:footnote w:type="continuationSeparator" w:id="0">
    <w:p w:rsidR="00020BE5" w:rsidRDefault="00020BE5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D1B2A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B8589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5"/>
    <w:rsid w:val="00020BE5"/>
    <w:rsid w:val="000C6305"/>
    <w:rsid w:val="000F6388"/>
    <w:rsid w:val="0010525A"/>
    <w:rsid w:val="001333E6"/>
    <w:rsid w:val="001478ED"/>
    <w:rsid w:val="001B6153"/>
    <w:rsid w:val="001D137D"/>
    <w:rsid w:val="001E463A"/>
    <w:rsid w:val="001F18CB"/>
    <w:rsid w:val="001F7153"/>
    <w:rsid w:val="00263606"/>
    <w:rsid w:val="0029720A"/>
    <w:rsid w:val="002B5CEB"/>
    <w:rsid w:val="002C42B7"/>
    <w:rsid w:val="003849D1"/>
    <w:rsid w:val="00550F77"/>
    <w:rsid w:val="005A52FA"/>
    <w:rsid w:val="00631AF0"/>
    <w:rsid w:val="00642AEA"/>
    <w:rsid w:val="006D2526"/>
    <w:rsid w:val="00742106"/>
    <w:rsid w:val="00785275"/>
    <w:rsid w:val="007D172A"/>
    <w:rsid w:val="007F40E1"/>
    <w:rsid w:val="00806F2E"/>
    <w:rsid w:val="008329FB"/>
    <w:rsid w:val="00837EE5"/>
    <w:rsid w:val="008D69B3"/>
    <w:rsid w:val="009B79DC"/>
    <w:rsid w:val="00A0046F"/>
    <w:rsid w:val="00A93A75"/>
    <w:rsid w:val="00AA3AE8"/>
    <w:rsid w:val="00AD36EC"/>
    <w:rsid w:val="00B326FF"/>
    <w:rsid w:val="00BF3D10"/>
    <w:rsid w:val="00C1073B"/>
    <w:rsid w:val="00C514A7"/>
    <w:rsid w:val="00CF447C"/>
    <w:rsid w:val="00D30600"/>
    <w:rsid w:val="00E44A46"/>
    <w:rsid w:val="00EC322D"/>
    <w:rsid w:val="00F1495B"/>
    <w:rsid w:val="00F749C3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F5D3D84-59FB-4FC5-96EA-B5A799E5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AF42315-C507-44EC-9F49-9F1816CD407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4</Pages>
  <Words>913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2022-03-08T14:13:00Z</dcterms:created>
  <dcterms:modified xsi:type="dcterms:W3CDTF">2022-03-11T13:54:00Z</dcterms:modified>
  <cp:version>03.2022</cp:version>
</cp:coreProperties>
</file>